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r. stosunku do </w:t>
      </w:r>
      <w:r w:rsidR="005C3D0A">
        <w:rPr>
          <w:rFonts w:ascii="Arial" w:hAnsi="Arial" w:cs="Arial"/>
          <w:b/>
          <w:color w:val="0070C0"/>
          <w:sz w:val="18"/>
          <w:szCs w:val="18"/>
        </w:rPr>
        <w:t>4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</w:t>
      </w:r>
      <w:r w:rsidR="005C3D0A">
        <w:rPr>
          <w:rFonts w:ascii="Arial" w:hAnsi="Arial" w:cs="Arial"/>
          <w:b/>
          <w:color w:val="0070C0"/>
          <w:sz w:val="18"/>
          <w:szCs w:val="18"/>
        </w:rPr>
        <w:t xml:space="preserve"> 2020 r.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:rsidR="00F66387" w:rsidRPr="00F66387" w:rsidRDefault="005C3D0A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</w:t>
      </w:r>
      <w:r w:rsidR="00F63853">
        <w:rPr>
          <w:rFonts w:ascii="Arial" w:hAnsi="Arial" w:cs="Arial"/>
          <w:color w:val="0070C0"/>
          <w:sz w:val="18"/>
          <w:szCs w:val="18"/>
        </w:rPr>
        <w:t xml:space="preserve">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 w:rsidRPr="00F66387"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 w:rsidRPr="00F66387">
        <w:rPr>
          <w:rFonts w:ascii="Arial" w:hAnsi="Arial" w:cs="Arial"/>
          <w:color w:val="0070C0"/>
          <w:sz w:val="18"/>
          <w:szCs w:val="18"/>
        </w:rPr>
        <w:t>.</w:t>
      </w:r>
    </w:p>
    <w:p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705F0D">
        <w:rPr>
          <w:rFonts w:ascii="Arial" w:hAnsi="Arial" w:cs="Arial"/>
          <w:b/>
          <w:color w:val="0070C0"/>
          <w:sz w:val="18"/>
          <w:szCs w:val="18"/>
        </w:rPr>
        <w:t xml:space="preserve">Projekt przebiega zgodnie z </w:t>
      </w:r>
      <w:r>
        <w:rPr>
          <w:rFonts w:ascii="Arial" w:hAnsi="Arial" w:cs="Arial"/>
          <w:b/>
          <w:color w:val="0070C0"/>
          <w:sz w:val="18"/>
          <w:szCs w:val="18"/>
        </w:rPr>
        <w:t>harmonogramem i budżetem</w:t>
      </w:r>
      <w:r w:rsidRPr="00705F0D">
        <w:rPr>
          <w:rFonts w:ascii="Arial" w:hAnsi="Arial" w:cs="Arial"/>
          <w:b/>
          <w:color w:val="0070C0"/>
          <w:sz w:val="18"/>
          <w:szCs w:val="18"/>
        </w:rPr>
        <w:t>.</w:t>
      </w:r>
    </w:p>
    <w:p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30196F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552A2" w:rsidRPr="003C0AEA" w:rsidRDefault="00436C6F" w:rsidP="00F63853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26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63853">
              <w:rPr>
                <w:rFonts w:ascii="Arial" w:hAnsi="Arial" w:cs="Arial"/>
                <w:color w:val="0070C0"/>
                <w:sz w:val="18"/>
                <w:szCs w:val="18"/>
              </w:rPr>
              <w:t>11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.2021</w:t>
            </w:r>
          </w:p>
        </w:tc>
      </w:tr>
    </w:tbl>
    <w:p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186F5B" w:rsidRDefault="00186F5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7</w:t>
            </w:r>
            <w:r w:rsidR="00F63853" w:rsidRPr="00186F5B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705F0D" w:rsidRPr="00186F5B" w:rsidRDefault="00186F5B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66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9 z 909 dni</w:t>
            </w:r>
          </w:p>
        </w:tc>
        <w:tc>
          <w:tcPr>
            <w:tcW w:w="3260" w:type="dxa"/>
          </w:tcPr>
          <w:p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186F5B" w:rsidRPr="00186F5B">
              <w:rPr>
                <w:rFonts w:ascii="Arial" w:hAnsi="Arial" w:cs="Arial"/>
                <w:color w:val="0070C0"/>
                <w:sz w:val="18"/>
                <w:szCs w:val="20"/>
              </w:rPr>
              <w:t>40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C93EBE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% wydatkowania wydatków </w:t>
            </w:r>
            <w:proofErr w:type="spellStart"/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wanch</w:t>
            </w:r>
            <w:proofErr w:type="spellEnd"/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: </w:t>
            </w:r>
            <w:r w:rsidR="00186F5B" w:rsidRPr="00186F5B">
              <w:rPr>
                <w:rFonts w:ascii="Arial" w:hAnsi="Arial" w:cs="Arial"/>
                <w:color w:val="0070C0"/>
                <w:sz w:val="18"/>
                <w:szCs w:val="20"/>
              </w:rPr>
              <w:t>40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:rsidR="00907F6D" w:rsidRPr="00186F5B" w:rsidRDefault="00186F5B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3 371 115,75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</w:p>
        </w:tc>
        <w:tc>
          <w:tcPr>
            <w:tcW w:w="3402" w:type="dxa"/>
          </w:tcPr>
          <w:p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41A92" w:rsidRDefault="006C249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:rsidR="00F1661F" w:rsidRPr="00F1661F" w:rsidRDefault="006C2498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:rsidR="00F1661F" w:rsidRPr="00141A92" w:rsidRDefault="00F1661F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:rsidR="00F1661F" w:rsidRPr="00F1661F" w:rsidRDefault="00F63853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:rsidR="00F1661F" w:rsidRDefault="00F63853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  <w:r w:rsidR="00DA1AA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617" w:type="dxa"/>
          </w:tcPr>
          <w:p w:rsidR="00F1661F" w:rsidRPr="00F1661F" w:rsidRDefault="00705F0D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:rsidR="00F1661F" w:rsidRDefault="00705F0D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Zrealizowany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705F0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Rozpoczęty, zgodnie z planem.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0BE" w:rsidRDefault="00E8644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  <w:r w:rsidR="001310BE">
              <w:rPr>
                <w:rFonts w:ascii="Arial" w:hAnsi="Arial" w:cs="Arial"/>
                <w:color w:val="0070C0"/>
                <w:sz w:val="18"/>
                <w:szCs w:val="18"/>
              </w:rPr>
              <w:t>: 2 osoby</w:t>
            </w:r>
          </w:p>
          <w:p w:rsidR="00F1661F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:rsidR="001310BE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  <w:tr w:rsidR="00F1661F" w:rsidRPr="002B50C0" w:rsidTr="00F1661F">
        <w:tc>
          <w:tcPr>
            <w:tcW w:w="2948" w:type="dxa"/>
          </w:tcPr>
          <w:p w:rsidR="00F1661F" w:rsidRPr="00141A92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0BE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:rsidR="00F1661F" w:rsidRPr="00141A92" w:rsidRDefault="001310B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:rsidR="00F1661F" w:rsidRPr="001B6667" w:rsidRDefault="00F63853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617" w:type="dxa"/>
          </w:tcPr>
          <w:p w:rsidR="00F1661F" w:rsidRPr="00F1661F" w:rsidRDefault="00F1661F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:rsidR="00F1661F" w:rsidRDefault="00F1661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:rsidR="00F1661F" w:rsidRDefault="00F1661F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 w:rsid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:rsid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:rsidR="00F8120B" w:rsidRPr="00F8120B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:rsidR="00F8120B" w:rsidRPr="009F1DC8" w:rsidRDefault="00F8120B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Pr="006334BF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Pr="009F1DC8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:rsidR="006A60AA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6C249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F8120B" w:rsidRDefault="000D4C04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</w:t>
            </w:r>
            <w:r w:rsidR="003800D5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F8120B" w:rsidRPr="0091332C" w:rsidRDefault="003800D5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268" w:type="dxa"/>
          </w:tcPr>
          <w:p w:rsidR="006A60AA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F8120B" w:rsidRPr="00141A92" w:rsidRDefault="00F8120B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:rsidR="00C6751B" w:rsidRPr="00141A92" w:rsidRDefault="008570E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</w:t>
            </w:r>
            <w:r w:rsidR="00E5610E">
              <w:rPr>
                <w:rFonts w:ascii="Arial" w:hAnsi="Arial" w:cs="Arial"/>
                <w:color w:val="0070C0"/>
                <w:sz w:val="18"/>
                <w:szCs w:val="20"/>
              </w:rPr>
              <w:t>-2021</w:t>
            </w:r>
          </w:p>
        </w:tc>
        <w:tc>
          <w:tcPr>
            <w:tcW w:w="1134" w:type="dxa"/>
          </w:tcPr>
          <w:p w:rsidR="00C6751B" w:rsidRPr="00141A92" w:rsidRDefault="00E5610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 trakcie realizacji</w:t>
            </w:r>
          </w:p>
        </w:tc>
        <w:tc>
          <w:tcPr>
            <w:tcW w:w="4394" w:type="dxa"/>
          </w:tcPr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-2020</w:t>
            </w:r>
          </w:p>
        </w:tc>
        <w:tc>
          <w:tcPr>
            <w:tcW w:w="1843" w:type="dxa"/>
          </w:tcPr>
          <w:p w:rsidR="00E5610E" w:rsidRDefault="00505A9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4C1D48" w:rsidRPr="002B50C0" w:rsidTr="00B1561E">
        <w:tc>
          <w:tcPr>
            <w:tcW w:w="2547" w:type="dxa"/>
          </w:tcPr>
          <w:p w:rsidR="004C1D48" w:rsidRDefault="00B1561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141A92" w:rsidRDefault="008570EB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w trakcie tworzenia</w:t>
            </w:r>
          </w:p>
        </w:tc>
        <w:tc>
          <w:tcPr>
            <w:tcW w:w="3543" w:type="dxa"/>
          </w:tcPr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:rsidR="00A76B24" w:rsidRPr="00A76B24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4C1D48" w:rsidRPr="00141A92" w:rsidRDefault="00A76B24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 w:rsidR="00C66DFA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IT administrujący systemem </w:t>
            </w:r>
            <w:r w:rsidR="00505A9E" w:rsidRPr="00E5610E">
              <w:rPr>
                <w:rFonts w:ascii="Arial" w:hAnsi="Arial" w:cs="Arial"/>
                <w:color w:val="0070C0"/>
                <w:sz w:val="18"/>
                <w:szCs w:val="18"/>
              </w:rPr>
              <w:t>EXPORT INTELLIGENCE</w:t>
            </w:r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5610E" w:rsidRPr="002B50C0" w:rsidTr="00B1561E">
        <w:tc>
          <w:tcPr>
            <w:tcW w:w="2547" w:type="dxa"/>
          </w:tcPr>
          <w:p w:rsidR="00E5610E" w:rsidRDefault="00E5610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:rsidR="00E5610E" w:rsidRDefault="008570E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</w:t>
            </w:r>
            <w:r w:rsidR="00505A9E">
              <w:rPr>
                <w:rFonts w:ascii="Arial" w:hAnsi="Arial" w:cs="Arial"/>
                <w:color w:val="0070C0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:rsidR="00E5610E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rozpoczęte</w:t>
            </w:r>
          </w:p>
        </w:tc>
        <w:tc>
          <w:tcPr>
            <w:tcW w:w="3543" w:type="dxa"/>
          </w:tcPr>
          <w:p w:rsidR="00E5610E" w:rsidRPr="00A76B24" w:rsidRDefault="00E5610E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:rsidTr="00134D30">
        <w:tc>
          <w:tcPr>
            <w:tcW w:w="2948" w:type="dxa"/>
            <w:vAlign w:val="center"/>
          </w:tcPr>
          <w:p w:rsidR="002A2725" w:rsidRPr="00B1561E" w:rsidRDefault="00867B1D" w:rsidP="00867B1D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dostępność techniczna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kiem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pprawnie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prawne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skonfiguowane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ponentów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raportówych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czych do wcześniej przyjętych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ząłozeń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Bieżąca eskalacja w trakcie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developementu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583F" w:rsidRPr="001D583F" w:rsidRDefault="00BC3C49" w:rsidP="00403D5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867B1D" w:rsidRPr="00867B1D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</w:t>
            </w:r>
            <w:r w:rsidR="00867B1D" w:rsidRPr="00867B1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867B1D" w:rsidRPr="00867B1D">
              <w:rPr>
                <w:rFonts w:ascii="Arial" w:hAnsi="Arial" w:cs="Arial"/>
                <w:color w:val="0070C0"/>
                <w:sz w:val="18"/>
                <w:szCs w:val="18"/>
              </w:rPr>
              <w:t>zacji integracji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. Przygotowanie projektu por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 xml:space="preserve">zumienia między </w:t>
            </w:r>
            <w:proofErr w:type="spellStart"/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MRPiT</w:t>
            </w:r>
            <w:proofErr w:type="spellEnd"/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 xml:space="preserve"> a GUS </w:t>
            </w:r>
            <w:proofErr w:type="spellStart"/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. udostę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niania danych wraz ze szczegółową uzgo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nioną specyfikacją danych. Dokument w op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niowaniu. Niezależnie złożono zamówienie na pełny zakres danych historycznych do syst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>mu.</w:t>
            </w:r>
          </w:p>
        </w:tc>
      </w:tr>
      <w:tr w:rsidR="00554BF1" w:rsidRPr="002B50C0" w:rsidTr="00134D30">
        <w:tc>
          <w:tcPr>
            <w:tcW w:w="2948" w:type="dxa"/>
            <w:vAlign w:val="center"/>
          </w:tcPr>
          <w:p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:rsidTr="00134D30">
        <w:tc>
          <w:tcPr>
            <w:tcW w:w="2948" w:type="dxa"/>
            <w:vAlign w:val="center"/>
          </w:tcPr>
          <w:p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:rsidTr="00134D30">
        <w:tc>
          <w:tcPr>
            <w:tcW w:w="2948" w:type="dxa"/>
            <w:vAlign w:val="center"/>
          </w:tcPr>
          <w:p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:rsidTr="00134D30">
        <w:tc>
          <w:tcPr>
            <w:tcW w:w="2948" w:type="dxa"/>
            <w:vAlign w:val="center"/>
          </w:tcPr>
          <w:p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:rsidTr="002A2725">
        <w:tc>
          <w:tcPr>
            <w:tcW w:w="2948" w:type="dxa"/>
            <w:vAlign w:val="center"/>
          </w:tcPr>
          <w:p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 zagranicznych gestorów danych, co może się wiązać z 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34D30" w:rsidRPr="00446765" w:rsidRDefault="00403D5E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:rsidTr="002A2725">
        <w:tc>
          <w:tcPr>
            <w:tcW w:w="2948" w:type="dxa"/>
            <w:vAlign w:val="center"/>
          </w:tcPr>
          <w:p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A14ED2" w:rsidRPr="00446765" w:rsidRDefault="00542B59" w:rsidP="003824CB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3824CB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A14ED2" w:rsidRPr="002B50C0" w:rsidTr="002A2725">
        <w:tc>
          <w:tcPr>
            <w:tcW w:w="2948" w:type="dxa"/>
            <w:vAlign w:val="center"/>
          </w:tcPr>
          <w:p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:rsidTr="002A2725">
        <w:tc>
          <w:tcPr>
            <w:tcW w:w="2948" w:type="dxa"/>
            <w:vAlign w:val="center"/>
          </w:tcPr>
          <w:p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:rsidTr="002A2725">
        <w:tc>
          <w:tcPr>
            <w:tcW w:w="2948" w:type="dxa"/>
            <w:vAlign w:val="center"/>
          </w:tcPr>
          <w:p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:rsidTr="002A2725">
        <w:tc>
          <w:tcPr>
            <w:tcW w:w="2948" w:type="dxa"/>
            <w:vAlign w:val="center"/>
          </w:tcPr>
          <w:p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:rsidTr="002A2725">
        <w:tc>
          <w:tcPr>
            <w:tcW w:w="2948" w:type="dxa"/>
            <w:vAlign w:val="center"/>
          </w:tcPr>
          <w:p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Alokacja osób odpowiedzialnych za przepr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wadzenie testów po stronie 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MR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, zgodnie z harmonogramem oraz wymogami szczegół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wego planu testów akceptacyjnych.</w:t>
            </w:r>
          </w:p>
          <w:p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Wewnętrzna weryfik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acja przez Właściciela Produktu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zgłoszonych błędów i </w:t>
            </w:r>
            <w:proofErr w:type="spellStart"/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uspójnienie</w:t>
            </w:r>
            <w:proofErr w:type="spellEnd"/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 uwag.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D09E9" w:rsidRPr="00141A92" w:rsidRDefault="00006672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:rsidTr="002A2725">
        <w:tc>
          <w:tcPr>
            <w:tcW w:w="2948" w:type="dxa"/>
            <w:vAlign w:val="center"/>
          </w:tcPr>
          <w:p w:rsidR="00006672" w:rsidRPr="00B1561E" w:rsidRDefault="00403D5E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C3C49" w:rsidRP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:rsidR="00BC3C49" w:rsidRDefault="00BC3C49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Przeprowadzenie testów UAT/ wdrożenia / stabilizacji na środowisku docelowym  je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el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będzie to możliwe - decyzja o docelowym środow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sku pro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ukcyjnym  zostanie podjęta do 30.04.2021</w:t>
            </w:r>
            <w:r w:rsidR="00403D5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:rsidR="00006672" w:rsidRPr="00BC3C49" w:rsidRDefault="00006672" w:rsidP="00BC3C49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06672" w:rsidRPr="00141A92" w:rsidRDefault="00403D5E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:rsidTr="002A2725">
        <w:tc>
          <w:tcPr>
            <w:tcW w:w="2948" w:type="dxa"/>
            <w:vAlign w:val="center"/>
          </w:tcPr>
          <w:p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:rsidTr="002A2725">
        <w:tc>
          <w:tcPr>
            <w:tcW w:w="2948" w:type="dxa"/>
            <w:vAlign w:val="center"/>
          </w:tcPr>
          <w:p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:rsidTr="002A2725">
        <w:tc>
          <w:tcPr>
            <w:tcW w:w="2948" w:type="dxa"/>
            <w:vAlign w:val="center"/>
          </w:tcPr>
          <w:p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:rsidTr="002A2725">
        <w:tc>
          <w:tcPr>
            <w:tcW w:w="2948" w:type="dxa"/>
            <w:vAlign w:val="center"/>
          </w:tcPr>
          <w:p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do pracy zdalnej - potencjalna mniejsza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i otwartość interesariuszy.</w:t>
            </w:r>
          </w:p>
          <w:p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t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sprawdzonych i intuicyjnych narzędzia komunikacji zdalnej do realizacji wywiadów grupowych (przede wszystkim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nie instrukcji korzystania z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F81DAC" w:rsidRPr="00141A92" w:rsidRDefault="00635962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zostało zamknięte w związku z zakończeniem fazy badawczej..</w:t>
            </w:r>
          </w:p>
        </w:tc>
      </w:tr>
      <w:tr w:rsidR="00F81DAC" w:rsidRPr="002B50C0" w:rsidTr="002A2725">
        <w:tc>
          <w:tcPr>
            <w:tcW w:w="2948" w:type="dxa"/>
            <w:vAlign w:val="center"/>
          </w:tcPr>
          <w:p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customowych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. Zmiana przyjętych wcześniej założeń może spowodować zmianę kosztów realizacji prac oraz utrzymania systemu.   </w:t>
            </w:r>
          </w:p>
        </w:tc>
        <w:tc>
          <w:tcPr>
            <w:tcW w:w="1134" w:type="dxa"/>
          </w:tcPr>
          <w:p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  <w:p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noszonych do rozwiązań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customowych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:rsidTr="002A2725">
        <w:tc>
          <w:tcPr>
            <w:tcW w:w="2948" w:type="dxa"/>
            <w:vAlign w:val="center"/>
          </w:tcPr>
          <w:p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:rsidTr="002A2725">
        <w:tc>
          <w:tcPr>
            <w:tcW w:w="2948" w:type="dxa"/>
            <w:vAlign w:val="center"/>
          </w:tcPr>
          <w:p w:rsidR="00B10720" w:rsidRPr="00B1561E" w:rsidRDefault="00B10720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w obszarze integracji źródeł danych gestorów polskich (GUS, PAIH) może mieć wpływ na zakres oraz czas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developm</w:t>
            </w:r>
            <w:r w:rsidR="00403D5E"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:rsidR="00B10720" w:rsidRPr="00DB2B27" w:rsidRDefault="00403D5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Włączenie integracji w trakcie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kosztem wycofania z zakresu innych funkcjonalności - do decyzji w trakcie planowania sprintów.</w:t>
            </w:r>
          </w:p>
          <w:p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. 30.12.2020r.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B10720" w:rsidRPr="00B10720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Zwiększono wagę ryzyka do średniej.</w:t>
            </w:r>
            <w:r w:rsidR="00B10720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42B59" w:rsidRPr="002B50C0" w:rsidTr="002A2725">
        <w:tc>
          <w:tcPr>
            <w:tcW w:w="2948" w:type="dxa"/>
            <w:vAlign w:val="center"/>
          </w:tcPr>
          <w:p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542B59" w:rsidRPr="00542B59" w:rsidRDefault="00542B59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Nowe ryzyko.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3A0576" w:rsidRPr="002B50C0" w:rsidTr="002A2725">
        <w:tc>
          <w:tcPr>
            <w:tcW w:w="2948" w:type="dxa"/>
            <w:vAlign w:val="center"/>
          </w:tcPr>
          <w:p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B40943">
        <w:trPr>
          <w:trHeight w:val="724"/>
        </w:trPr>
        <w:tc>
          <w:tcPr>
            <w:tcW w:w="3941" w:type="dxa"/>
            <w:shd w:val="clear" w:color="auto" w:fill="auto"/>
          </w:tcPr>
          <w:p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B40943" w:rsidRPr="00B40943" w:rsidRDefault="006C2498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0" w:name="_Hlk18274129"/>
    </w:p>
    <w:p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>, Pracy i Technologii</w:t>
      </w:r>
    </w:p>
    <w:p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:rsidR="00410CEA" w:rsidRDefault="00413C5E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4252A5" w:rsidRPr="000661D0">
          <w:rPr>
            <w:rStyle w:val="Hipercze"/>
            <w:rFonts w:ascii="Arial" w:hAnsi="Arial" w:cs="Arial"/>
            <w:sz w:val="18"/>
            <w:szCs w:val="18"/>
          </w:rPr>
          <w:t>szymon.klus@mrpit.gov.pl</w:t>
        </w:r>
      </w:hyperlink>
    </w:p>
    <w:p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0"/>
    </w:p>
    <w:p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C5E" w:rsidRDefault="00413C5E" w:rsidP="00BB2420">
      <w:pPr>
        <w:spacing w:after="0" w:line="240" w:lineRule="auto"/>
      </w:pPr>
      <w:r>
        <w:separator/>
      </w:r>
    </w:p>
  </w:endnote>
  <w:endnote w:type="continuationSeparator" w:id="0">
    <w:p w:rsidR="00413C5E" w:rsidRDefault="00413C5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C3D0A" w:rsidRDefault="005C3D0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86F5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5C3D0A" w:rsidRDefault="005C3D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C5E" w:rsidRDefault="00413C5E" w:rsidP="00BB2420">
      <w:pPr>
        <w:spacing w:after="0" w:line="240" w:lineRule="auto"/>
      </w:pPr>
      <w:r>
        <w:separator/>
      </w:r>
    </w:p>
  </w:footnote>
  <w:footnote w:type="continuationSeparator" w:id="0">
    <w:p w:rsidR="00413C5E" w:rsidRDefault="00413C5E" w:rsidP="00BB2420">
      <w:pPr>
        <w:spacing w:after="0" w:line="240" w:lineRule="auto"/>
      </w:pPr>
      <w:r>
        <w:continuationSeparator/>
      </w:r>
    </w:p>
  </w:footnote>
  <w:footnote w:id="1">
    <w:p w:rsidR="005C3D0A" w:rsidRDefault="005C3D0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3"/>
  </w:num>
  <w:num w:numId="4">
    <w:abstractNumId w:val="29"/>
  </w:num>
  <w:num w:numId="5">
    <w:abstractNumId w:val="24"/>
  </w:num>
  <w:num w:numId="6">
    <w:abstractNumId w:val="11"/>
  </w:num>
  <w:num w:numId="7">
    <w:abstractNumId w:val="16"/>
  </w:num>
  <w:num w:numId="8">
    <w:abstractNumId w:val="26"/>
  </w:num>
  <w:num w:numId="9">
    <w:abstractNumId w:val="23"/>
  </w:num>
  <w:num w:numId="10">
    <w:abstractNumId w:val="28"/>
  </w:num>
  <w:num w:numId="11">
    <w:abstractNumId w:val="9"/>
  </w:num>
  <w:num w:numId="12">
    <w:abstractNumId w:val="14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2"/>
  </w:num>
  <w:num w:numId="19">
    <w:abstractNumId w:val="1"/>
  </w:num>
  <w:num w:numId="20">
    <w:abstractNumId w:val="17"/>
  </w:num>
  <w:num w:numId="21">
    <w:abstractNumId w:val="6"/>
  </w:num>
  <w:num w:numId="22">
    <w:abstractNumId w:val="15"/>
  </w:num>
  <w:num w:numId="23">
    <w:abstractNumId w:val="2"/>
  </w:num>
  <w:num w:numId="24">
    <w:abstractNumId w:val="27"/>
  </w:num>
  <w:num w:numId="25">
    <w:abstractNumId w:val="18"/>
  </w:num>
  <w:num w:numId="26">
    <w:abstractNumId w:val="20"/>
  </w:num>
  <w:num w:numId="27">
    <w:abstractNumId w:val="12"/>
  </w:num>
  <w:num w:numId="28">
    <w:abstractNumId w:val="21"/>
  </w:num>
  <w:num w:numId="29">
    <w:abstractNumId w:val="25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23801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13C5E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729D1"/>
    <w:rsid w:val="00497732"/>
    <w:rsid w:val="004B6B5D"/>
    <w:rsid w:val="004C1D48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3D0A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191C"/>
    <w:rsid w:val="007020CE"/>
    <w:rsid w:val="00705F0D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C49"/>
    <w:rsid w:val="00BC6BE4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57985"/>
    <w:rsid w:val="00C66DFA"/>
    <w:rsid w:val="00C6751B"/>
    <w:rsid w:val="00C93EBE"/>
    <w:rsid w:val="00CA516B"/>
    <w:rsid w:val="00CB29C7"/>
    <w:rsid w:val="00CC7E21"/>
    <w:rsid w:val="00CE74F9"/>
    <w:rsid w:val="00CE7777"/>
    <w:rsid w:val="00CF2E64"/>
    <w:rsid w:val="00D02F6D"/>
    <w:rsid w:val="00D22C21"/>
    <w:rsid w:val="00D25CFE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796A"/>
    <w:rsid w:val="00EC2AFC"/>
    <w:rsid w:val="00F138F7"/>
    <w:rsid w:val="00F1661F"/>
    <w:rsid w:val="00F2008A"/>
    <w:rsid w:val="00F21D9E"/>
    <w:rsid w:val="00F25348"/>
    <w:rsid w:val="00F45506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p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0CD22-CCA4-4A23-A061-CECC01C1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3748</Words>
  <Characters>22491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2021-04-07T11:11:00Z</dcterms:modified>
</cp:coreProperties>
</file>